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74%"/>
            <w:shd w:fill="FDEAE7" w:color="auto" w:val="clear"/>
            <w:tcMar>
              <w:top w:type="dxa" w:w="72"/>
              <w:left w:type="dxa" w:w="115"/>
              <w:bottom w:type="dxa" w:w="72"/>
              <w:right w:type="dxa" w:w="115"/>
            </w:tcMar>
            <w:vAlign w:val="top"/>
          </w:tcPr>
          <w:p>
            <w:pPr>
              <w:spacing w:after="140"/>
            </w:pPr>
            <w:r>
              <w:rPr>
                <w:b/>
                <w:bCs/>
                <w:color w:val="EC3013"/>
                <w:sz w:val="36"/>
                <w:szCs w:val="36"/>
              </w:rPr>
              <w:t xml:space="preserve">Pre-use assessment tool review record</w:t>
            </w:r>
          </w:p>
          <w:p>
            <w:pPr>
              <w:spacing w:after="140"/>
            </w:pPr>
            <w:r>
              <w:rPr>
                <w:b/>
                <w:bCs/>
                <w:color w:val="201E1D"/>
                <w:sz w:val="22"/>
                <w:szCs w:val="22"/>
              </w:rPr>
              <w:t xml:space="preserve">CPCCCM2006 — Apply basic levelling procedures</w:t>
            </w:r>
          </w:p>
          <w:p>
            <w:pPr>
              <w:spacing w:after="140"/>
            </w:pPr>
            <w:r>
              <w:rPr>
                <w:b w:val="false"/>
                <w:bCs w:val="false"/>
                <w:color w:val="6B6560"/>
                <w:sz w:val="18"/>
                <w:szCs w:val="18"/>
              </w:rPr>
              <w:t xml:space="preserve">Sample RTO · Release 1</w:t>
            </w:r>
          </w:p>
        </w:tc>
        <w:tc>
          <w:tcPr>
            <w:tcW w:type="pct" w:w="26%"/>
            <w:shd w:fill="FDEAE7" w:color="auto" w:val="clear"/>
            <w:tcMar>
              <w:top w:type="dxa" w:w="72"/>
              <w:left w:type="dxa" w:w="115"/>
              <w:bottom w:type="dxa" w:w="72"/>
              <w:right w:type="dxa" w:w="115"/>
            </w:tcMar>
            <w:vAlign w:val="top"/>
          </w:tcPr>
          <w:p>
            <w:pPr>
              <w:spacing w:after="140"/>
              <w:jc w:val="center"/>
            </w:pPr>
            <w:r>
              <w:rPr>
                <w:b w:val="false"/>
                <w:bCs w:val="false"/>
                <w:color w:val="6B6560"/>
                <w:sz w:val="16"/>
                <w:szCs w:val="16"/>
              </w:rPr>
              <w:t xml:space="preserve">LOGO</w:t>
            </w:r>
          </w:p>
          <w:p>
            <w:pPr>
              <w:spacing w:after="140"/>
              <w:jc w:val="center"/>
            </w:pPr>
            <w:r>
              <w:rPr>
                <w:b w:val="false"/>
                <w:bCs w:val="false"/>
                <w:color w:val="6B6560"/>
                <w:sz w:val="16"/>
                <w:szCs w:val="16"/>
              </w:rPr>
              <w:t xml:space="preserve">Issued 30 August 2026</w:t>
            </w:r>
          </w:p>
        </w:tc>
      </w:tr>
    </w:tbl>
    <w:p>
      <w:pPr>
        <w:spacing w:after="60"/>
      </w:pPr>
      <w:r>
        <w:rPr>
          <w:b w:val="false"/>
          <w:bCs w:val="false"/>
          <w:color w:val="201E1D"/>
          <w:sz w:val="22"/>
          <w:szCs w:val="22"/>
        </w:rPr>
        <w:t xml:space="preserve"/>
      </w:r>
    </w:p>
    <w:p>
      <w:pPr>
        <w:spacing w:after="140"/>
      </w:pPr>
      <w:r>
        <w:rPr>
          <w:b w:val="false"/>
          <w:bCs w:val="false"/>
          <w:color w:val="6B6560"/>
          <w:sz w:val="18"/>
          <w:szCs w:val="18"/>
        </w:rPr>
        <w:t xml:space="preserve">Complete this record before these tools are used with students. Quality Area 1, Standard 1.3 — the assessment system is fit-for-purpose and consistent with the training product; assessment tools are reviewed prior to use to ensure assessment can be conducted in a way that is consistent with the principles of assessment and rules of evidence set out under Standard 1.4, and the outcomes of any such reviews inform any necessary changes to assessment tools.</w:t>
      </w:r>
    </w:p>
    <w:p>
      <w:pPr>
        <w:spacing w:after="140"/>
      </w:pPr>
      <w:r>
        <w:rPr>
          <w:b w:val="false"/>
          <w:bCs w:val="false"/>
          <w:color w:val="6B6560"/>
          <w:sz w:val="18"/>
          <w:szCs w:val="18"/>
        </w:rPr>
        <w:t xml:space="preserve">This is a Standard 1.3 review of the tools, not a Standard 1.5 validation. Standard 1.5 validation reads samples of marked student work after assessment has happened and reaches findings about assessment practices and judgements — it is the companion document “CPCCCM2006 validation record.docx”, and this record is not a substitute for it.</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32%"/>
            <w:shd w:fill="201E1D" w:color="auto" w:val="clear"/>
            <w:tcMar>
              <w:top w:type="dxa" w:w="72"/>
              <w:left w:type="dxa" w:w="115"/>
              <w:bottom w:type="dxa" w:w="72"/>
              <w:right w:type="dxa" w:w="115"/>
            </w:tcMar>
            <w:vAlign w:val="top"/>
          </w:tcPr>
          <w:p>
            <w:pPr>
              <w:spacing w:after="140"/>
            </w:pPr>
            <w:r>
              <w:rPr>
                <w:b/>
                <w:bCs/>
                <w:color w:val="FFFFFF"/>
                <w:sz w:val="22"/>
                <w:szCs w:val="22"/>
              </w:rPr>
              <w:t xml:space="preserve">Review details</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Record</w:t>
            </w:r>
          </w:p>
        </w:tc>
      </w:tr>
      <w:tr>
        <w:tc>
          <w:tcPr>
            <w:tcW w:type="pct" w:w="32%"/>
            <w:tcMar>
              <w:top w:type="dxa" w:w="72"/>
              <w:left w:type="dxa" w:w="115"/>
              <w:bottom w:type="dxa" w:w="72"/>
              <w:right w:type="dxa" w:w="115"/>
            </w:tcMar>
            <w:vAlign w:val="top"/>
          </w:tcPr>
          <w:p>
            <w:pPr>
              <w:spacing w:after="140"/>
            </w:pPr>
            <w:r>
              <w:rPr>
                <w:b w:val="false"/>
                <w:bCs w:val="false"/>
                <w:color w:val="201E1D"/>
                <w:sz w:val="22"/>
                <w:szCs w:val="22"/>
              </w:rPr>
              <w:t xml:space="preserve">RTO name / code</w:t>
            </w:r>
          </w:p>
        </w:tc>
        <w:tc>
          <w:tcPr>
            <w:tcMar>
              <w:top w:type="dxa" w:w="72"/>
              <w:left w:type="dxa" w:w="115"/>
              <w:bottom w:type="dxa" w:w="72"/>
              <w:right w:type="dxa" w:w="115"/>
            </w:tcMar>
            <w:vAlign w:val="top"/>
          </w:tcPr>
          <w:p>
            <w:pPr>
              <w:spacing w:after="140"/>
            </w:pPr>
            <w:r>
              <w:rPr>
                <w:b w:val="false"/>
                <w:bCs w:val="false"/>
                <w:color w:val="201E1D"/>
                <w:sz w:val="22"/>
                <w:szCs w:val="22"/>
              </w:rPr>
              <w:t xml:space="preserve">Sample RTO</w:t>
            </w:r>
          </w:p>
        </w:tc>
      </w:tr>
      <w:tr>
        <w:tc>
          <w:tcPr>
            <w:tcW w:type="pct" w:w="32%"/>
            <w:tcMar>
              <w:top w:type="dxa" w:w="72"/>
              <w:left w:type="dxa" w:w="115"/>
              <w:bottom w:type="dxa" w:w="72"/>
              <w:right w:type="dxa" w:w="115"/>
            </w:tcMar>
            <w:vAlign w:val="top"/>
          </w:tcPr>
          <w:p>
            <w:pPr>
              <w:spacing w:after="140"/>
            </w:pPr>
            <w:r>
              <w:rPr>
                <w:b w:val="false"/>
                <w:bCs w:val="false"/>
                <w:color w:val="201E1D"/>
                <w:sz w:val="22"/>
                <w:szCs w:val="22"/>
              </w:rPr>
              <w:t xml:space="preserve">Unit</w:t>
            </w:r>
          </w:p>
        </w:tc>
        <w:tc>
          <w:tcPr>
            <w:tcMar>
              <w:top w:type="dxa" w:w="72"/>
              <w:left w:type="dxa" w:w="115"/>
              <w:bottom w:type="dxa" w:w="72"/>
              <w:right w:type="dxa" w:w="115"/>
            </w:tcMar>
            <w:vAlign w:val="top"/>
          </w:tcPr>
          <w:p>
            <w:pPr>
              <w:spacing w:after="140"/>
            </w:pPr>
            <w:r>
              <w:rPr>
                <w:b w:val="false"/>
                <w:bCs w:val="false"/>
                <w:color w:val="201E1D"/>
                <w:sz w:val="22"/>
                <w:szCs w:val="22"/>
              </w:rPr>
              <w:t xml:space="preserve">CPCCCM2006 — Apply basic levelling procedures</w:t>
            </w:r>
          </w:p>
        </w:tc>
      </w:tr>
      <w:tr>
        <w:tc>
          <w:tcPr>
            <w:tcW w:type="pct" w:w="32%"/>
            <w:tcMar>
              <w:top w:type="dxa" w:w="72"/>
              <w:left w:type="dxa" w:w="115"/>
              <w:bottom w:type="dxa" w:w="72"/>
              <w:right w:type="dxa" w:w="115"/>
            </w:tcMar>
            <w:vAlign w:val="top"/>
          </w:tcPr>
          <w:p>
            <w:pPr>
              <w:spacing w:after="140"/>
            </w:pPr>
            <w:r>
              <w:rPr>
                <w:b w:val="false"/>
                <w:bCs w:val="false"/>
                <w:color w:val="201E1D"/>
                <w:sz w:val="22"/>
                <w:szCs w:val="22"/>
              </w:rPr>
              <w:t xml:space="preserve">Reviewer name(s) and role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tcMar>
              <w:top w:type="dxa" w:w="72"/>
              <w:left w:type="dxa" w:w="115"/>
              <w:bottom w:type="dxa" w:w="72"/>
              <w:right w:type="dxa" w:w="115"/>
            </w:tcMar>
            <w:vAlign w:val="top"/>
          </w:tcPr>
          <w:p>
            <w:pPr>
              <w:spacing w:after="140"/>
            </w:pPr>
            <w:r>
              <w:rPr>
                <w:b w:val="false"/>
                <w:bCs w:val="false"/>
                <w:color w:val="201E1D"/>
                <w:sz w:val="22"/>
                <w:szCs w:val="22"/>
              </w:rPr>
              <w:t xml:space="preserve">Reviewer credentials (training and assessment, and vocational competency)</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tcMar>
              <w:top w:type="dxa" w:w="72"/>
              <w:left w:type="dxa" w:w="115"/>
              <w:bottom w:type="dxa" w:w="72"/>
              <w:right w:type="dxa" w:w="115"/>
            </w:tcMar>
            <w:vAlign w:val="top"/>
          </w:tcPr>
          <w:p>
            <w:pPr>
              <w:spacing w:after="140"/>
            </w:pPr>
            <w:r>
              <w:rPr>
                <w:b w:val="false"/>
                <w:bCs w:val="false"/>
                <w:color w:val="201E1D"/>
                <w:sz w:val="22"/>
                <w:szCs w:val="22"/>
              </w:rPr>
              <w:t xml:space="preserve">Independence — the reviewer did not design these tools</w:t>
            </w:r>
          </w:p>
        </w:tc>
        <w:tc>
          <w:tcPr>
            <w:tcMar>
              <w:top w:type="dxa" w:w="72"/>
              <w:left w:type="dxa" w:w="115"/>
              <w:bottom w:type="dxa" w:w="72"/>
              <w:right w:type="dxa" w:w="115"/>
            </w:tcMar>
            <w:vAlign w:val="top"/>
          </w:tcPr>
          <w:p>
            <w:pPr>
              <w:spacing w:after="140"/>
            </w:pPr>
            <w:r>
              <w:rPr>
                <w:b w:val="false"/>
                <w:bCs w:val="false"/>
                <w:color w:val="201E1D"/>
                <w:sz w:val="22"/>
                <w:szCs w:val="22"/>
              </w:rPr>
              <w:t xml:space="preserve">☐ Confirmed     ☐ Not applicable — note why</w:t>
            </w:r>
          </w:p>
        </w:tc>
      </w:tr>
      <w:tr>
        <w:tc>
          <w:tcPr>
            <w:tcW w:type="pct" w:w="32%"/>
            <w:tcMar>
              <w:top w:type="dxa" w:w="72"/>
              <w:left w:type="dxa" w:w="115"/>
              <w:bottom w:type="dxa" w:w="72"/>
              <w:right w:type="dxa" w:w="115"/>
            </w:tcMar>
            <w:vAlign w:val="top"/>
          </w:tcPr>
          <w:p>
            <w:pPr>
              <w:spacing w:after="140"/>
            </w:pPr>
            <w:r>
              <w:rPr>
                <w:b w:val="false"/>
                <w:bCs w:val="false"/>
                <w:color w:val="201E1D"/>
                <w:sz w:val="22"/>
                <w:szCs w:val="22"/>
              </w:rPr>
              <w:t xml:space="preserve">Date of review</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bl>
    <w:p>
      <w:pPr>
        <w:pStyle w:val="Heading2"/>
        <w:pBdr>
          <w:bottom w:val="single" w:color="EC3013" w:sz="12" w:space="2"/>
        </w:pBdr>
        <w:spacing w:after="220" w:before="280"/>
      </w:pPr>
      <w:r>
        <w:rPr>
          <w:b/>
          <w:bCs/>
          <w:color w:val="201E1D"/>
          <w:sz w:val="28"/>
          <w:szCs w:val="28"/>
        </w:rPr>
        <w:t xml:space="preserve">Tools under review</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gridCol w:w="100"/>
      </w:tblGrid>
      <w:tr>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Assessment tool</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Contents</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Method</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Criteria addressed</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Written assessment (knowledge questions)</w:t>
            </w:r>
          </w:p>
        </w:tc>
        <w:tc>
          <w:tcPr>
            <w:tcMar>
              <w:top w:type="dxa" w:w="72"/>
              <w:left w:type="dxa" w:w="115"/>
              <w:bottom w:type="dxa" w:w="72"/>
              <w:right w:type="dxa" w:w="115"/>
            </w:tcMar>
            <w:vAlign w:val="top"/>
          </w:tcPr>
          <w:p>
            <w:pPr>
              <w:spacing w:after="140"/>
            </w:pPr>
            <w:r>
              <w:rPr>
                <w:b w:val="false"/>
                <w:bCs w:val="false"/>
                <w:color w:val="201E1D"/>
                <w:sz w:val="22"/>
                <w:szCs w:val="22"/>
              </w:rPr>
              <w:t xml:space="preserve">39 questions</w:t>
            </w:r>
          </w:p>
        </w:tc>
        <w:tc>
          <w:tcPr>
            <w:tcMar>
              <w:top w:type="dxa" w:w="72"/>
              <w:left w:type="dxa" w:w="115"/>
              <w:bottom w:type="dxa" w:w="72"/>
              <w:right w:type="dxa" w:w="115"/>
            </w:tcMar>
            <w:vAlign w:val="top"/>
          </w:tcPr>
          <w:p>
            <w:pPr>
              <w:spacing w:after="140"/>
            </w:pPr>
            <w:r>
              <w:rPr>
                <w:b w:val="false"/>
                <w:bCs w:val="false"/>
                <w:color w:val="201E1D"/>
                <w:sz w:val="22"/>
                <w:szCs w:val="22"/>
              </w:rPr>
              <w:t xml:space="preserve">Written responses</w:t>
            </w:r>
          </w:p>
        </w:tc>
        <w:tc>
          <w:tcPr>
            <w:tcMar>
              <w:top w:type="dxa" w:w="72"/>
              <w:left w:type="dxa" w:w="115"/>
              <w:bottom w:type="dxa" w:w="72"/>
              <w:right w:type="dxa" w:w="115"/>
            </w:tcMar>
            <w:vAlign w:val="top"/>
          </w:tcPr>
          <w:p>
            <w:pPr>
              <w:spacing w:after="140"/>
            </w:pPr>
            <w:r>
              <w:rPr>
                <w:b w:val="false"/>
                <w:bCs w:val="false"/>
                <w:color w:val="201E1D"/>
                <w:sz w:val="22"/>
                <w:szCs w:val="22"/>
              </w:rPr>
              <w:t xml:space="preserve">1.1, 1.2, 1.3, 1.4, 1.5, 2.1, 2.2, 2.3, 2.4, 3.1, 3.2</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Video assessment: Element 1: Plan and prepare</w:t>
            </w:r>
          </w:p>
        </w:tc>
        <w:tc>
          <w:tcPr>
            <w:tcMar>
              <w:top w:type="dxa" w:w="72"/>
              <w:left w:type="dxa" w:w="115"/>
              <w:bottom w:type="dxa" w:w="72"/>
              <w:right w:type="dxa" w:w="115"/>
            </w:tcMar>
            <w:vAlign w:val="top"/>
          </w:tcPr>
          <w:p>
            <w:pPr>
              <w:spacing w:after="140"/>
            </w:pPr>
            <w:r>
              <w:rPr>
                <w:b w:val="false"/>
                <w:bCs w:val="false"/>
                <w:color w:val="201E1D"/>
                <w:sz w:val="22"/>
                <w:szCs w:val="22"/>
              </w:rPr>
              <w:t xml:space="preserve">Say-and-do video with a shot list</w:t>
            </w:r>
          </w:p>
        </w:tc>
        <w:tc>
          <w:tcPr>
            <w:tcMar>
              <w:top w:type="dxa" w:w="72"/>
              <w:left w:type="dxa" w:w="115"/>
              <w:bottom w:type="dxa" w:w="72"/>
              <w:right w:type="dxa" w:w="115"/>
            </w:tcMar>
            <w:vAlign w:val="top"/>
          </w:tcPr>
          <w:p>
            <w:pPr>
              <w:spacing w:after="140"/>
            </w:pPr>
            <w:r>
              <w:rPr>
                <w:b w:val="false"/>
                <w:bCs w:val="false"/>
                <w:color w:val="201E1D"/>
                <w:sz w:val="22"/>
                <w:szCs w:val="22"/>
              </w:rPr>
              <w:t xml:space="preserve">Direct observation (recorded)</w:t>
            </w:r>
          </w:p>
        </w:tc>
        <w:tc>
          <w:tcPr>
            <w:tcMar>
              <w:top w:type="dxa" w:w="72"/>
              <w:left w:type="dxa" w:w="115"/>
              <w:bottom w:type="dxa" w:w="72"/>
              <w:right w:type="dxa" w:w="115"/>
            </w:tcMar>
            <w:vAlign w:val="top"/>
          </w:tcPr>
          <w:p>
            <w:pPr>
              <w:spacing w:after="140"/>
            </w:pPr>
            <w:r>
              <w:rPr>
                <w:b w:val="false"/>
                <w:bCs w:val="false"/>
                <w:color w:val="201E1D"/>
                <w:sz w:val="22"/>
                <w:szCs w:val="22"/>
              </w:rPr>
              <w:t xml:space="preserve">1.1, 1.2, 1.3, 1.4, 1.5</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Video assessment: Element 2: Set up and use levelling device</w:t>
            </w:r>
          </w:p>
        </w:tc>
        <w:tc>
          <w:tcPr>
            <w:tcMar>
              <w:top w:type="dxa" w:w="72"/>
              <w:left w:type="dxa" w:w="115"/>
              <w:bottom w:type="dxa" w:w="72"/>
              <w:right w:type="dxa" w:w="115"/>
            </w:tcMar>
            <w:vAlign w:val="top"/>
          </w:tcPr>
          <w:p>
            <w:pPr>
              <w:spacing w:after="140"/>
            </w:pPr>
            <w:r>
              <w:rPr>
                <w:b w:val="false"/>
                <w:bCs w:val="false"/>
                <w:color w:val="201E1D"/>
                <w:sz w:val="22"/>
                <w:szCs w:val="22"/>
              </w:rPr>
              <w:t xml:space="preserve">Say-and-do video with a shot list</w:t>
            </w:r>
          </w:p>
        </w:tc>
        <w:tc>
          <w:tcPr>
            <w:tcMar>
              <w:top w:type="dxa" w:w="72"/>
              <w:left w:type="dxa" w:w="115"/>
              <w:bottom w:type="dxa" w:w="72"/>
              <w:right w:type="dxa" w:w="115"/>
            </w:tcMar>
            <w:vAlign w:val="top"/>
          </w:tcPr>
          <w:p>
            <w:pPr>
              <w:spacing w:after="140"/>
            </w:pPr>
            <w:r>
              <w:rPr>
                <w:b w:val="false"/>
                <w:bCs w:val="false"/>
                <w:color w:val="201E1D"/>
                <w:sz w:val="22"/>
                <w:szCs w:val="22"/>
              </w:rPr>
              <w:t xml:space="preserve">Direct observation (recorded)</w:t>
            </w:r>
          </w:p>
        </w:tc>
        <w:tc>
          <w:tcPr>
            <w:tcMar>
              <w:top w:type="dxa" w:w="72"/>
              <w:left w:type="dxa" w:w="115"/>
              <w:bottom w:type="dxa" w:w="72"/>
              <w:right w:type="dxa" w:w="115"/>
            </w:tcMar>
            <w:vAlign w:val="top"/>
          </w:tcPr>
          <w:p>
            <w:pPr>
              <w:spacing w:after="140"/>
            </w:pPr>
            <w:r>
              <w:rPr>
                <w:b w:val="false"/>
                <w:bCs w:val="false"/>
                <w:color w:val="201E1D"/>
                <w:sz w:val="22"/>
                <w:szCs w:val="22"/>
              </w:rPr>
              <w:t xml:space="preserve">2.1, 2.2, 2.3, 2.4</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Video assessment: Element 3: Clean up</w:t>
            </w:r>
          </w:p>
        </w:tc>
        <w:tc>
          <w:tcPr>
            <w:tcMar>
              <w:top w:type="dxa" w:w="72"/>
              <w:left w:type="dxa" w:w="115"/>
              <w:bottom w:type="dxa" w:w="72"/>
              <w:right w:type="dxa" w:w="115"/>
            </w:tcMar>
            <w:vAlign w:val="top"/>
          </w:tcPr>
          <w:p>
            <w:pPr>
              <w:spacing w:after="140"/>
            </w:pPr>
            <w:r>
              <w:rPr>
                <w:b w:val="false"/>
                <w:bCs w:val="false"/>
                <w:color w:val="201E1D"/>
                <w:sz w:val="22"/>
                <w:szCs w:val="22"/>
              </w:rPr>
              <w:t xml:space="preserve">Say-and-do video with a shot list</w:t>
            </w:r>
          </w:p>
        </w:tc>
        <w:tc>
          <w:tcPr>
            <w:tcMar>
              <w:top w:type="dxa" w:w="72"/>
              <w:left w:type="dxa" w:w="115"/>
              <w:bottom w:type="dxa" w:w="72"/>
              <w:right w:type="dxa" w:w="115"/>
            </w:tcMar>
            <w:vAlign w:val="top"/>
          </w:tcPr>
          <w:p>
            <w:pPr>
              <w:spacing w:after="140"/>
            </w:pPr>
            <w:r>
              <w:rPr>
                <w:b w:val="false"/>
                <w:bCs w:val="false"/>
                <w:color w:val="201E1D"/>
                <w:sz w:val="22"/>
                <w:szCs w:val="22"/>
              </w:rPr>
              <w:t xml:space="preserve">Direct observation (recorded)</w:t>
            </w:r>
          </w:p>
        </w:tc>
        <w:tc>
          <w:tcPr>
            <w:tcMar>
              <w:top w:type="dxa" w:w="72"/>
              <w:left w:type="dxa" w:w="115"/>
              <w:bottom w:type="dxa" w:w="72"/>
              <w:right w:type="dxa" w:w="115"/>
            </w:tcMar>
            <w:vAlign w:val="top"/>
          </w:tcPr>
          <w:p>
            <w:pPr>
              <w:spacing w:after="140"/>
            </w:pPr>
            <w:r>
              <w:rPr>
                <w:b w:val="false"/>
                <w:bCs w:val="false"/>
                <w:color w:val="201E1D"/>
                <w:sz w:val="22"/>
                <w:szCs w:val="22"/>
              </w:rPr>
              <w:t xml:space="preserve">3.1, 3.2</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Observation checklists</w:t>
            </w:r>
          </w:p>
        </w:tc>
        <w:tc>
          <w:tcPr>
            <w:tcMar>
              <w:top w:type="dxa" w:w="72"/>
              <w:left w:type="dxa" w:w="115"/>
              <w:bottom w:type="dxa" w:w="72"/>
              <w:right w:type="dxa" w:w="115"/>
            </w:tcMar>
            <w:vAlign w:val="top"/>
          </w:tcPr>
          <w:p>
            <w:pPr>
              <w:spacing w:after="140"/>
            </w:pPr>
            <w:r>
              <w:rPr>
                <w:b w:val="false"/>
                <w:bCs w:val="false"/>
                <w:color w:val="201E1D"/>
                <w:sz w:val="22"/>
                <w:szCs w:val="22"/>
              </w:rPr>
              <w:t xml:space="preserve">6 checklists</w:t>
            </w:r>
          </w:p>
        </w:tc>
        <w:tc>
          <w:tcPr>
            <w:tcMar>
              <w:top w:type="dxa" w:w="72"/>
              <w:left w:type="dxa" w:w="115"/>
              <w:bottom w:type="dxa" w:w="72"/>
              <w:right w:type="dxa" w:w="115"/>
            </w:tcMar>
            <w:vAlign w:val="top"/>
          </w:tcPr>
          <w:p>
            <w:pPr>
              <w:spacing w:after="140"/>
            </w:pPr>
            <w:r>
              <w:rPr>
                <w:b w:val="false"/>
                <w:bCs w:val="false"/>
                <w:color w:val="201E1D"/>
                <w:sz w:val="22"/>
                <w:szCs w:val="22"/>
              </w:rPr>
              <w:t xml:space="preserve">Direct observation</w:t>
            </w:r>
          </w:p>
        </w:tc>
        <w:tc>
          <w:tcPr>
            <w:tcMar>
              <w:top w:type="dxa" w:w="72"/>
              <w:left w:type="dxa" w:w="115"/>
              <w:bottom w:type="dxa" w:w="72"/>
              <w:right w:type="dxa" w:w="115"/>
            </w:tcMar>
            <w:vAlign w:val="top"/>
          </w:tcPr>
          <w:p>
            <w:pPr>
              <w:spacing w:after="140"/>
            </w:pPr>
            <w:r>
              <w:rPr>
                <w:b w:val="false"/>
                <w:bCs w:val="false"/>
                <w:color w:val="201E1D"/>
                <w:sz w:val="22"/>
                <w:szCs w:val="22"/>
              </w:rPr>
              <w:t xml:space="preserve">1.1, 1.2, 1.3, 1.4, 1.5, 2.1, 2.2, 2.3, 2.4, 3.1, 3.2</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Portfolio of evidence</w:t>
            </w:r>
          </w:p>
        </w:tc>
        <w:tc>
          <w:tcPr>
            <w:tcMar>
              <w:top w:type="dxa" w:w="72"/>
              <w:left w:type="dxa" w:w="115"/>
              <w:bottom w:type="dxa" w:w="72"/>
              <w:right w:type="dxa" w:w="115"/>
            </w:tcMar>
            <w:vAlign w:val="top"/>
          </w:tcPr>
          <w:p>
            <w:pPr>
              <w:spacing w:after="140"/>
            </w:pPr>
            <w:r>
              <w:rPr>
                <w:b w:val="false"/>
                <w:bCs w:val="false"/>
                <w:color w:val="201E1D"/>
                <w:sz w:val="22"/>
                <w:szCs w:val="22"/>
              </w:rPr>
              <w:t xml:space="preserve">1 portfolio task</w:t>
            </w:r>
          </w:p>
        </w:tc>
        <w:tc>
          <w:tcPr>
            <w:tcMar>
              <w:top w:type="dxa" w:w="72"/>
              <w:left w:type="dxa" w:w="115"/>
              <w:bottom w:type="dxa" w:w="72"/>
              <w:right w:type="dxa" w:w="115"/>
            </w:tcMar>
            <w:vAlign w:val="top"/>
          </w:tcPr>
          <w:p>
            <w:pPr>
              <w:spacing w:after="140"/>
            </w:pPr>
            <w:r>
              <w:rPr>
                <w:b w:val="false"/>
                <w:bCs w:val="false"/>
                <w:color w:val="201E1D"/>
                <w:sz w:val="22"/>
                <w:szCs w:val="22"/>
              </w:rPr>
              <w:t xml:space="preserve">Product / documentary evidence</w:t>
            </w:r>
          </w:p>
        </w:tc>
        <w:tc>
          <w:tcPr>
            <w:tcMar>
              <w:top w:type="dxa" w:w="72"/>
              <w:left w:type="dxa" w:w="115"/>
              <w:bottom w:type="dxa" w:w="72"/>
              <w:right w:type="dxa" w:w="115"/>
            </w:tcMar>
            <w:vAlign w:val="top"/>
          </w:tcPr>
          <w:p>
            <w:pPr>
              <w:spacing w:after="140"/>
            </w:pPr>
            <w:r>
              <w:rPr>
                <w:b w:val="false"/>
                <w:bCs w:val="false"/>
                <w:color w:val="201E1D"/>
                <w:sz w:val="22"/>
                <w:szCs w:val="22"/>
              </w:rPr>
              <w:t xml:space="preserve">1.1, 1.2, 1.3, 1.4, 1.5, 2.1, 2.2, 2.3, 2.4, 3.1, 3.2</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Site documents (Job Safety Analysis, Hazard Report Form, Incident / Near-miss Report)</w:t>
            </w:r>
          </w:p>
        </w:tc>
        <w:tc>
          <w:tcPr>
            <w:tcMar>
              <w:top w:type="dxa" w:w="72"/>
              <w:left w:type="dxa" w:w="115"/>
              <w:bottom w:type="dxa" w:w="72"/>
              <w:right w:type="dxa" w:w="115"/>
            </w:tcMar>
            <w:vAlign w:val="top"/>
          </w:tcPr>
          <w:p>
            <w:pPr>
              <w:spacing w:after="140"/>
            </w:pPr>
            <w:r>
              <w:rPr>
                <w:b w:val="false"/>
                <w:bCs w:val="false"/>
                <w:color w:val="201E1D"/>
                <w:sz w:val="22"/>
                <w:szCs w:val="22"/>
              </w:rPr>
              <w:t xml:space="preserve">3 completed workplace documents</w:t>
            </w:r>
          </w:p>
        </w:tc>
        <w:tc>
          <w:tcPr>
            <w:tcMar>
              <w:top w:type="dxa" w:w="72"/>
              <w:left w:type="dxa" w:w="115"/>
              <w:bottom w:type="dxa" w:w="72"/>
              <w:right w:type="dxa" w:w="115"/>
            </w:tcMar>
            <w:vAlign w:val="top"/>
          </w:tcPr>
          <w:p>
            <w:pPr>
              <w:spacing w:after="140"/>
            </w:pPr>
            <w:r>
              <w:rPr>
                <w:b w:val="false"/>
                <w:bCs w:val="false"/>
                <w:color w:val="201E1D"/>
                <w:sz w:val="22"/>
                <w:szCs w:val="22"/>
              </w:rPr>
              <w:t xml:space="preserve">Product evidence</w:t>
            </w:r>
          </w:p>
        </w:tc>
        <w:tc>
          <w:tcPr>
            <w:tcMar>
              <w:top w:type="dxa" w:w="72"/>
              <w:left w:type="dxa" w:w="115"/>
              <w:bottom w:type="dxa" w:w="72"/>
              <w:right w:type="dxa" w:w="115"/>
            </w:tcMar>
            <w:vAlign w:val="top"/>
          </w:tcPr>
          <w:p>
            <w:pPr>
              <w:spacing w:after="140"/>
            </w:pPr>
            <w:r>
              <w:rPr>
                <w:b w:val="false"/>
                <w:bCs w:val="false"/>
                <w:color w:val="201E1D"/>
                <w:sz w:val="22"/>
                <w:szCs w:val="22"/>
              </w:rPr>
              <w:t xml:space="preserve">1.3</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Direct observation (occasion 1 of 3)</w:t>
            </w:r>
          </w:p>
        </w:tc>
        <w:tc>
          <w:tcPr>
            <w:tcMar>
              <w:top w:type="dxa" w:w="72"/>
              <w:left w:type="dxa" w:w="115"/>
              <w:bottom w:type="dxa" w:w="72"/>
              <w:right w:type="dxa" w:w="115"/>
            </w:tcMar>
            <w:vAlign w:val="top"/>
          </w:tcPr>
          <w:p>
            <w:pPr>
              <w:spacing w:after="140"/>
            </w:pPr>
            <w:r>
              <w:rPr>
                <w:b w:val="false"/>
                <w:bCs w:val="false"/>
                <w:color w:val="201E1D"/>
                <w:sz w:val="22"/>
                <w:szCs w:val="22"/>
              </w:rPr>
              <w:t xml:space="preserve">Assessor observation record, completed live</w:t>
            </w:r>
          </w:p>
        </w:tc>
        <w:tc>
          <w:tcPr>
            <w:tcMar>
              <w:top w:type="dxa" w:w="72"/>
              <w:left w:type="dxa" w:w="115"/>
              <w:bottom w:type="dxa" w:w="72"/>
              <w:right w:type="dxa" w:w="115"/>
            </w:tcMar>
            <w:vAlign w:val="top"/>
          </w:tcPr>
          <w:p>
            <w:pPr>
              <w:spacing w:after="140"/>
            </w:pPr>
            <w:r>
              <w:rPr>
                <w:b w:val="false"/>
                <w:bCs w:val="false"/>
                <w:color w:val="201E1D"/>
                <w:sz w:val="22"/>
                <w:szCs w:val="22"/>
              </w:rPr>
              <w:t xml:space="preserve">Direct observation</w:t>
            </w:r>
          </w:p>
        </w:tc>
        <w:tc>
          <w:tcPr>
            <w:tcMar>
              <w:top w:type="dxa" w:w="72"/>
              <w:left w:type="dxa" w:w="115"/>
              <w:bottom w:type="dxa" w:w="72"/>
              <w:right w:type="dxa" w:w="115"/>
            </w:tcMar>
            <w:vAlign w:val="top"/>
          </w:tcPr>
          <w:p>
            <w:pPr>
              <w:spacing w:after="140"/>
            </w:pPr>
            <w:r>
              <w:rPr>
                <w:b w:val="false"/>
                <w:bCs w:val="false"/>
                <w:color w:val="201E1D"/>
                <w:sz w:val="22"/>
                <w:szCs w:val="22"/>
              </w:rPr>
              <w:t xml:space="preserve">1.1, 1.2, 1.3, 1.4, 1.5, 2.1, 2.2, 2.3, 2.4, 3.1, 3.2</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Direct observation (occasion 2 of 3)</w:t>
            </w:r>
          </w:p>
        </w:tc>
        <w:tc>
          <w:tcPr>
            <w:tcMar>
              <w:top w:type="dxa" w:w="72"/>
              <w:left w:type="dxa" w:w="115"/>
              <w:bottom w:type="dxa" w:w="72"/>
              <w:right w:type="dxa" w:w="115"/>
            </w:tcMar>
            <w:vAlign w:val="top"/>
          </w:tcPr>
          <w:p>
            <w:pPr>
              <w:spacing w:after="140"/>
            </w:pPr>
            <w:r>
              <w:rPr>
                <w:b w:val="false"/>
                <w:bCs w:val="false"/>
                <w:color w:val="201E1D"/>
                <w:sz w:val="22"/>
                <w:szCs w:val="22"/>
              </w:rPr>
              <w:t xml:space="preserve">Assessor observation record, completed live</w:t>
            </w:r>
          </w:p>
        </w:tc>
        <w:tc>
          <w:tcPr>
            <w:tcMar>
              <w:top w:type="dxa" w:w="72"/>
              <w:left w:type="dxa" w:w="115"/>
              <w:bottom w:type="dxa" w:w="72"/>
              <w:right w:type="dxa" w:w="115"/>
            </w:tcMar>
            <w:vAlign w:val="top"/>
          </w:tcPr>
          <w:p>
            <w:pPr>
              <w:spacing w:after="140"/>
            </w:pPr>
            <w:r>
              <w:rPr>
                <w:b w:val="false"/>
                <w:bCs w:val="false"/>
                <w:color w:val="201E1D"/>
                <w:sz w:val="22"/>
                <w:szCs w:val="22"/>
              </w:rPr>
              <w:t xml:space="preserve">Direct observation</w:t>
            </w:r>
          </w:p>
        </w:tc>
        <w:tc>
          <w:tcPr>
            <w:tcMar>
              <w:top w:type="dxa" w:w="72"/>
              <w:left w:type="dxa" w:w="115"/>
              <w:bottom w:type="dxa" w:w="72"/>
              <w:right w:type="dxa" w:w="115"/>
            </w:tcMar>
            <w:vAlign w:val="top"/>
          </w:tcPr>
          <w:p>
            <w:pPr>
              <w:spacing w:after="140"/>
            </w:pPr>
            <w:r>
              <w:rPr>
                <w:b w:val="false"/>
                <w:bCs w:val="false"/>
                <w:color w:val="201E1D"/>
                <w:sz w:val="22"/>
                <w:szCs w:val="22"/>
              </w:rPr>
              <w:t xml:space="preserve">1.1, 1.2, 1.3, 1.4, 1.5, 2.1, 2.2, 2.3, 2.4, 3.1, 3.2</w:t>
            </w:r>
          </w:p>
        </w:tc>
      </w:tr>
    </w:tbl>
    <w:p>
      <w:pPr>
        <w:spacing w:after="140"/>
      </w:pPr>
      <w:r>
        <w:rPr>
          <w:b w:val="false"/>
          <w:bCs w:val="false"/>
          <w:color w:val="6B6560"/>
          <w:sz w:val="18"/>
          <w:szCs w:val="18"/>
        </w:rPr>
        <w:t xml:space="preserve">Item-level mapping is in the companion document “CPCCCM2006 mapping document.docx” — attach it to this record.</w:t>
      </w:r>
    </w:p>
    <w:p>
      <w:pPr>
        <w:pStyle w:val="Heading2"/>
        <w:pBdr>
          <w:bottom w:val="single" w:color="EC3013" w:sz="12" w:space="2"/>
        </w:pBdr>
        <w:spacing w:after="220" w:before="280"/>
      </w:pPr>
      <w:r>
        <w:rPr>
          <w:b/>
          <w:bCs/>
          <w:color w:val="201E1D"/>
          <w:sz w:val="28"/>
          <w:szCs w:val="28"/>
        </w:rPr>
        <w:t xml:space="preserve">Principles of assessment</w:t>
      </w:r>
    </w:p>
    <w:p>
      <w:pPr>
        <w:spacing w:after="140"/>
      </w:pPr>
      <w:r>
        <w:rPr>
          <w:b w:val="false"/>
          <w:bCs w:val="false"/>
          <w:color w:val="6B6560"/>
          <w:sz w:val="18"/>
          <w:szCs w:val="18"/>
        </w:rPr>
        <w:t xml:space="preserve">Quality Area 1, Standard 1.4 — the assessment system ensures assessment is conducted in a way that is fair and appropriate and enables accurate assessment judgement of VET student competency.</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gridCol w:w="100"/>
      </w:tblGrid>
      <w:tr>
        <w:tc>
          <w:tcPr>
            <w:tcW w:type="pct" w:w="34%"/>
            <w:shd w:fill="201E1D" w:color="auto" w:val="clear"/>
            <w:tcMar>
              <w:top w:type="dxa" w:w="72"/>
              <w:left w:type="dxa" w:w="115"/>
              <w:bottom w:type="dxa" w:w="72"/>
              <w:right w:type="dxa" w:w="115"/>
            </w:tcMar>
            <w:vAlign w:val="top"/>
          </w:tcPr>
          <w:p>
            <w:pPr>
              <w:spacing w:after="140"/>
            </w:pPr>
            <w:r>
              <w:rPr>
                <w:b/>
                <w:bCs/>
                <w:color w:val="FFFFFF"/>
                <w:sz w:val="22"/>
                <w:szCs w:val="22"/>
              </w:rPr>
              <w:t xml:space="preserve">Requirement</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What to check in these tools</w:t>
            </w:r>
          </w:p>
        </w:tc>
        <w:tc>
          <w:tcPr>
            <w:tcW w:type="pct" w:w="10%"/>
            <w:shd w:fill="201E1D" w:color="auto" w:val="clear"/>
            <w:tcMar>
              <w:top w:type="dxa" w:w="72"/>
              <w:left w:type="dxa" w:w="115"/>
              <w:bottom w:type="dxa" w:w="72"/>
              <w:right w:type="dxa" w:w="115"/>
            </w:tcMar>
            <w:vAlign w:val="top"/>
          </w:tcPr>
          <w:p>
            <w:pPr>
              <w:spacing w:after="140"/>
            </w:pPr>
            <w:r>
              <w:rPr>
                <w:b/>
                <w:bCs/>
                <w:color w:val="FFFFFF"/>
                <w:sz w:val="22"/>
                <w:szCs w:val="22"/>
              </w:rPr>
              <w:t xml:space="preserve">Met</w:t>
            </w:r>
          </w:p>
        </w:tc>
        <w:tc>
          <w:tcPr>
            <w:tcW w:type="pct" w:w="22%"/>
            <w:shd w:fill="201E1D" w:color="auto" w:val="clear"/>
            <w:tcMar>
              <w:top w:type="dxa" w:w="72"/>
              <w:left w:type="dxa" w:w="115"/>
              <w:bottom w:type="dxa" w:w="72"/>
              <w:right w:type="dxa" w:w="115"/>
            </w:tcMar>
            <w:vAlign w:val="top"/>
          </w:tcPr>
          <w:p>
            <w:pPr>
              <w:spacing w:after="140"/>
            </w:pPr>
            <w:r>
              <w:rPr>
                <w:b/>
                <w:bCs/>
                <w:color w:val="FFFFFF"/>
                <w:sz w:val="22"/>
                <w:szCs w:val="22"/>
              </w:rPr>
              <w:t xml:space="preserve">Comments / actions</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Fairness</w:t>
            </w:r>
          </w:p>
        </w:tc>
        <w:tc>
          <w:tcPr>
            <w:tcMar>
              <w:top w:type="dxa" w:w="72"/>
              <w:left w:type="dxa" w:w="115"/>
              <w:bottom w:type="dxa" w:w="72"/>
              <w:right w:type="dxa" w:w="115"/>
            </w:tcMar>
            <w:vAlign w:val="top"/>
          </w:tcPr>
          <w:p>
            <w:pPr>
              <w:spacing w:after="140"/>
            </w:pPr>
            <w:r>
              <w:rPr>
                <w:b w:val="false"/>
                <w:bCs w:val="false"/>
                <w:color w:val="201E1D"/>
                <w:sz w:val="22"/>
                <w:szCs w:val="22"/>
              </w:rPr>
              <w:t xml:space="preserve">Instructions are clear and in plain language; reasonable adjustment is possible without lowering the standard; students are told the process and their appeal rights.</w:t>
            </w:r>
          </w:p>
        </w:tc>
        <w:tc>
          <w:tcPr>
            <w:tcMar>
              <w:top w:type="dxa" w:w="72"/>
              <w:left w:type="dxa" w:w="115"/>
              <w:bottom w:type="dxa" w:w="72"/>
              <w:right w:type="dxa" w:w="115"/>
            </w:tcMar>
            <w:vAlign w:val="top"/>
          </w:tcPr>
          <w:p>
            <w:pPr>
              <w:spacing w:after="140"/>
            </w:pPr>
            <w:r>
              <w:rPr>
                <w:b w:val="false"/>
                <w:bCs w:val="false"/>
                <w:color w:val="201E1D"/>
                <w:sz w:val="22"/>
                <w:szCs w:val="22"/>
              </w:rPr>
              <w:t xml:space="preserve">☐ Y   ☐ 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Flexibility</w:t>
            </w:r>
          </w:p>
        </w:tc>
        <w:tc>
          <w:tcPr>
            <w:tcMar>
              <w:top w:type="dxa" w:w="72"/>
              <w:left w:type="dxa" w:w="115"/>
              <w:bottom w:type="dxa" w:w="72"/>
              <w:right w:type="dxa" w:w="115"/>
            </w:tcMar>
            <w:vAlign w:val="top"/>
          </w:tcPr>
          <w:p>
            <w:pPr>
              <w:spacing w:after="140"/>
            </w:pPr>
            <w:r>
              <w:rPr>
                <w:b w:val="false"/>
                <w:bCs w:val="false"/>
                <w:color w:val="201E1D"/>
                <w:sz w:val="22"/>
                <w:szCs w:val="22"/>
              </w:rPr>
              <w:t xml:space="preserve">The tool set draws on a range of methods — written, observation, product — and can reflect the student’s own context.</w:t>
            </w:r>
          </w:p>
        </w:tc>
        <w:tc>
          <w:tcPr>
            <w:tcMar>
              <w:top w:type="dxa" w:w="72"/>
              <w:left w:type="dxa" w:w="115"/>
              <w:bottom w:type="dxa" w:w="72"/>
              <w:right w:type="dxa" w:w="115"/>
            </w:tcMar>
            <w:vAlign w:val="top"/>
          </w:tcPr>
          <w:p>
            <w:pPr>
              <w:spacing w:after="140"/>
            </w:pPr>
            <w:r>
              <w:rPr>
                <w:b w:val="false"/>
                <w:bCs w:val="false"/>
                <w:color w:val="201E1D"/>
                <w:sz w:val="22"/>
                <w:szCs w:val="22"/>
              </w:rPr>
              <w:t xml:space="preserve">☐ Y   ☐ 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Validity</w:t>
            </w:r>
          </w:p>
        </w:tc>
        <w:tc>
          <w:tcPr>
            <w:tcMar>
              <w:top w:type="dxa" w:w="72"/>
              <w:left w:type="dxa" w:w="115"/>
              <w:bottom w:type="dxa" w:w="72"/>
              <w:right w:type="dxa" w:w="115"/>
            </w:tcMar>
            <w:vAlign w:val="top"/>
          </w:tcPr>
          <w:p>
            <w:pPr>
              <w:spacing w:after="140"/>
            </w:pPr>
            <w:r>
              <w:rPr>
                <w:b w:val="false"/>
                <w:bCs w:val="false"/>
                <w:color w:val="201E1D"/>
                <w:sz w:val="22"/>
                <w:szCs w:val="22"/>
              </w:rPr>
              <w:t xml:space="preserve">Every performance criterion, performance evidence and knowledge evidence item is assessed at the level of the unit, and the tasks reflect the real work conditions named in the assessment conditions.</w:t>
            </w:r>
          </w:p>
        </w:tc>
        <w:tc>
          <w:tcPr>
            <w:tcMar>
              <w:top w:type="dxa" w:w="72"/>
              <w:left w:type="dxa" w:w="115"/>
              <w:bottom w:type="dxa" w:w="72"/>
              <w:right w:type="dxa" w:w="115"/>
            </w:tcMar>
            <w:vAlign w:val="top"/>
          </w:tcPr>
          <w:p>
            <w:pPr>
              <w:spacing w:after="140"/>
            </w:pPr>
            <w:r>
              <w:rPr>
                <w:b w:val="false"/>
                <w:bCs w:val="false"/>
                <w:color w:val="201E1D"/>
                <w:sz w:val="22"/>
                <w:szCs w:val="22"/>
              </w:rPr>
              <w:t xml:space="preserve">☐ Y   ☐ 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Reliability</w:t>
            </w:r>
          </w:p>
        </w:tc>
        <w:tc>
          <w:tcPr>
            <w:tcMar>
              <w:top w:type="dxa" w:w="72"/>
              <w:left w:type="dxa" w:w="115"/>
              <w:bottom w:type="dxa" w:w="72"/>
              <w:right w:type="dxa" w:w="115"/>
            </w:tcMar>
            <w:vAlign w:val="top"/>
          </w:tcPr>
          <w:p>
            <w:pPr>
              <w:spacing w:after="140"/>
            </w:pPr>
            <w:r>
              <w:rPr>
                <w:b w:val="false"/>
                <w:bCs w:val="false"/>
                <w:color w:val="201E1D"/>
                <w:sz w:val="22"/>
                <w:szCs w:val="22"/>
              </w:rPr>
              <w:t xml:space="preserve">A benchmark and a satisfactory / not yet satisfactory marking guide accompany every item, so two assessors would reach the same judgement.</w:t>
            </w:r>
          </w:p>
        </w:tc>
        <w:tc>
          <w:tcPr>
            <w:tcMar>
              <w:top w:type="dxa" w:w="72"/>
              <w:left w:type="dxa" w:w="115"/>
              <w:bottom w:type="dxa" w:w="72"/>
              <w:right w:type="dxa" w:w="115"/>
            </w:tcMar>
            <w:vAlign w:val="top"/>
          </w:tcPr>
          <w:p>
            <w:pPr>
              <w:spacing w:after="140"/>
            </w:pPr>
            <w:r>
              <w:rPr>
                <w:b w:val="false"/>
                <w:bCs w:val="false"/>
                <w:color w:val="201E1D"/>
                <w:sz w:val="22"/>
                <w:szCs w:val="22"/>
              </w:rPr>
              <w:t xml:space="preserve">☐ Y   ☐ 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bl>
    <w:p>
      <w:pPr>
        <w:pStyle w:val="Heading2"/>
        <w:pBdr>
          <w:bottom w:val="single" w:color="EC3013" w:sz="12" w:space="2"/>
        </w:pBdr>
        <w:spacing w:after="220" w:before="280"/>
      </w:pPr>
      <w:r>
        <w:rPr>
          <w:b/>
          <w:bCs/>
          <w:color w:val="201E1D"/>
          <w:sz w:val="28"/>
          <w:szCs w:val="28"/>
        </w:rPr>
        <w:t xml:space="preserve">Rules of evidence</w:t>
      </w:r>
    </w:p>
    <w:p>
      <w:pPr>
        <w:spacing w:after="140"/>
      </w:pPr>
      <w:r>
        <w:rPr>
          <w:b w:val="false"/>
          <w:bCs w:val="false"/>
          <w:color w:val="6B6560"/>
          <w:sz w:val="18"/>
          <w:szCs w:val="18"/>
        </w:rPr>
        <w:t xml:space="preserve">Also Standard 1.4 — validity, sufficiency, authenticity and currency of assessment evidence.</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gridCol w:w="100"/>
      </w:tblGrid>
      <w:tr>
        <w:tc>
          <w:tcPr>
            <w:tcW w:type="pct" w:w="34%"/>
            <w:shd w:fill="201E1D" w:color="auto" w:val="clear"/>
            <w:tcMar>
              <w:top w:type="dxa" w:w="72"/>
              <w:left w:type="dxa" w:w="115"/>
              <w:bottom w:type="dxa" w:w="72"/>
              <w:right w:type="dxa" w:w="115"/>
            </w:tcMar>
            <w:vAlign w:val="top"/>
          </w:tcPr>
          <w:p>
            <w:pPr>
              <w:spacing w:after="140"/>
            </w:pPr>
            <w:r>
              <w:rPr>
                <w:b/>
                <w:bCs/>
                <w:color w:val="FFFFFF"/>
                <w:sz w:val="22"/>
                <w:szCs w:val="22"/>
              </w:rPr>
              <w:t xml:space="preserve">Requirement</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What to check in these tools</w:t>
            </w:r>
          </w:p>
        </w:tc>
        <w:tc>
          <w:tcPr>
            <w:tcW w:type="pct" w:w="10%"/>
            <w:shd w:fill="201E1D" w:color="auto" w:val="clear"/>
            <w:tcMar>
              <w:top w:type="dxa" w:w="72"/>
              <w:left w:type="dxa" w:w="115"/>
              <w:bottom w:type="dxa" w:w="72"/>
              <w:right w:type="dxa" w:w="115"/>
            </w:tcMar>
            <w:vAlign w:val="top"/>
          </w:tcPr>
          <w:p>
            <w:pPr>
              <w:spacing w:after="140"/>
            </w:pPr>
            <w:r>
              <w:rPr>
                <w:b/>
                <w:bCs/>
                <w:color w:val="FFFFFF"/>
                <w:sz w:val="22"/>
                <w:szCs w:val="22"/>
              </w:rPr>
              <w:t xml:space="preserve">Met</w:t>
            </w:r>
          </w:p>
        </w:tc>
        <w:tc>
          <w:tcPr>
            <w:tcW w:type="pct" w:w="22%"/>
            <w:shd w:fill="201E1D" w:color="auto" w:val="clear"/>
            <w:tcMar>
              <w:top w:type="dxa" w:w="72"/>
              <w:left w:type="dxa" w:w="115"/>
              <w:bottom w:type="dxa" w:w="72"/>
              <w:right w:type="dxa" w:w="115"/>
            </w:tcMar>
            <w:vAlign w:val="top"/>
          </w:tcPr>
          <w:p>
            <w:pPr>
              <w:spacing w:after="140"/>
            </w:pPr>
            <w:r>
              <w:rPr>
                <w:b/>
                <w:bCs/>
                <w:color w:val="FFFFFF"/>
                <w:sz w:val="22"/>
                <w:szCs w:val="22"/>
              </w:rPr>
              <w:t xml:space="preserve">Comments / actions</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Validity</w:t>
            </w:r>
          </w:p>
        </w:tc>
        <w:tc>
          <w:tcPr>
            <w:tcMar>
              <w:top w:type="dxa" w:w="72"/>
              <w:left w:type="dxa" w:w="115"/>
              <w:bottom w:type="dxa" w:w="72"/>
              <w:right w:type="dxa" w:w="115"/>
            </w:tcMar>
            <w:vAlign w:val="top"/>
          </w:tcPr>
          <w:p>
            <w:pPr>
              <w:spacing w:after="140"/>
            </w:pPr>
            <w:r>
              <w:rPr>
                <w:b w:val="false"/>
                <w:bCs w:val="false"/>
                <w:color w:val="201E1D"/>
                <w:sz w:val="22"/>
                <w:szCs w:val="22"/>
              </w:rPr>
              <w:t xml:space="preserve">The evidence each tool collects actually demonstrates the criteria it is mapped to — check against the mapping document.</w:t>
            </w:r>
          </w:p>
        </w:tc>
        <w:tc>
          <w:tcPr>
            <w:tcMar>
              <w:top w:type="dxa" w:w="72"/>
              <w:left w:type="dxa" w:w="115"/>
              <w:bottom w:type="dxa" w:w="72"/>
              <w:right w:type="dxa" w:w="115"/>
            </w:tcMar>
            <w:vAlign w:val="top"/>
          </w:tcPr>
          <w:p>
            <w:pPr>
              <w:spacing w:after="140"/>
            </w:pPr>
            <w:r>
              <w:rPr>
                <w:b w:val="false"/>
                <w:bCs w:val="false"/>
                <w:color w:val="201E1D"/>
                <w:sz w:val="22"/>
                <w:szCs w:val="22"/>
              </w:rPr>
              <w:t xml:space="preserve">☐ Y   ☐ 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Sufficiency</w:t>
            </w:r>
          </w:p>
        </w:tc>
        <w:tc>
          <w:tcPr>
            <w:tcMar>
              <w:top w:type="dxa" w:w="72"/>
              <w:left w:type="dxa" w:w="115"/>
              <w:bottom w:type="dxa" w:w="72"/>
              <w:right w:type="dxa" w:w="115"/>
            </w:tcMar>
            <w:vAlign w:val="top"/>
          </w:tcPr>
          <w:p>
            <w:pPr>
              <w:spacing w:after="140"/>
            </w:pPr>
            <w:r>
              <w:rPr>
                <w:b w:val="false"/>
                <w:bCs w:val="false"/>
                <w:color w:val="201E1D"/>
                <w:sz w:val="22"/>
                <w:szCs w:val="22"/>
              </w:rPr>
              <w:t xml:space="preserve">Enough evidence across enough occasions; check the unit’s performance evidence for required repetitions and equipment coverage.</w:t>
            </w:r>
          </w:p>
        </w:tc>
        <w:tc>
          <w:tcPr>
            <w:tcMar>
              <w:top w:type="dxa" w:w="72"/>
              <w:left w:type="dxa" w:w="115"/>
              <w:bottom w:type="dxa" w:w="72"/>
              <w:right w:type="dxa" w:w="115"/>
            </w:tcMar>
            <w:vAlign w:val="top"/>
          </w:tcPr>
          <w:p>
            <w:pPr>
              <w:spacing w:after="140"/>
            </w:pPr>
            <w:r>
              <w:rPr>
                <w:b w:val="false"/>
                <w:bCs w:val="false"/>
                <w:color w:val="201E1D"/>
                <w:sz w:val="22"/>
                <w:szCs w:val="22"/>
              </w:rPr>
              <w:t xml:space="preserve">☐ Y   ☐ 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Authenticity</w:t>
            </w:r>
          </w:p>
        </w:tc>
        <w:tc>
          <w:tcPr>
            <w:tcMar>
              <w:top w:type="dxa" w:w="72"/>
              <w:left w:type="dxa" w:w="115"/>
              <w:bottom w:type="dxa" w:w="72"/>
              <w:right w:type="dxa" w:w="115"/>
            </w:tcMar>
            <w:vAlign w:val="top"/>
          </w:tcPr>
          <w:p>
            <w:pPr>
              <w:spacing w:after="140"/>
            </w:pPr>
            <w:r>
              <w:rPr>
                <w:b w:val="false"/>
                <w:bCs w:val="false"/>
                <w:color w:val="201E1D"/>
                <w:sz w:val="22"/>
                <w:szCs w:val="22"/>
              </w:rPr>
              <w:t xml:space="preserve">The process confirms the work is the student’s own — supervised sessions, identity checks on video, the declaration on the cover sheet.</w:t>
            </w:r>
          </w:p>
        </w:tc>
        <w:tc>
          <w:tcPr>
            <w:tcMar>
              <w:top w:type="dxa" w:w="72"/>
              <w:left w:type="dxa" w:w="115"/>
              <w:bottom w:type="dxa" w:w="72"/>
              <w:right w:type="dxa" w:w="115"/>
            </w:tcMar>
            <w:vAlign w:val="top"/>
          </w:tcPr>
          <w:p>
            <w:pPr>
              <w:spacing w:after="140"/>
            </w:pPr>
            <w:r>
              <w:rPr>
                <w:b w:val="false"/>
                <w:bCs w:val="false"/>
                <w:color w:val="201E1D"/>
                <w:sz w:val="22"/>
                <w:szCs w:val="22"/>
              </w:rPr>
              <w:t xml:space="preserve">☐ Y   ☐ 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Currency</w:t>
            </w:r>
          </w:p>
        </w:tc>
        <w:tc>
          <w:tcPr>
            <w:tcMar>
              <w:top w:type="dxa" w:w="72"/>
              <w:left w:type="dxa" w:w="115"/>
              <w:bottom w:type="dxa" w:w="72"/>
              <w:right w:type="dxa" w:w="115"/>
            </w:tcMar>
            <w:vAlign w:val="top"/>
          </w:tcPr>
          <w:p>
            <w:pPr>
              <w:spacing w:after="140"/>
            </w:pPr>
            <w:r>
              <w:rPr>
                <w:b w:val="false"/>
                <w:bCs w:val="false"/>
                <w:color w:val="201E1D"/>
                <w:sz w:val="22"/>
                <w:szCs w:val="22"/>
              </w:rPr>
              <w:t xml:space="preserve">The evidence demonstrates current competency and the tools cite the current release of the unit (Release 1).</w:t>
            </w:r>
          </w:p>
        </w:tc>
        <w:tc>
          <w:tcPr>
            <w:tcMar>
              <w:top w:type="dxa" w:w="72"/>
              <w:left w:type="dxa" w:w="115"/>
              <w:bottom w:type="dxa" w:w="72"/>
              <w:right w:type="dxa" w:w="115"/>
            </w:tcMar>
            <w:vAlign w:val="top"/>
          </w:tcPr>
          <w:p>
            <w:pPr>
              <w:spacing w:after="140"/>
            </w:pPr>
            <w:r>
              <w:rPr>
                <w:b w:val="false"/>
                <w:bCs w:val="false"/>
                <w:color w:val="201E1D"/>
                <w:sz w:val="22"/>
                <w:szCs w:val="22"/>
              </w:rPr>
              <w:t xml:space="preserve">☐ Y   ☐ 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bl>
    <w:p>
      <w:pPr>
        <w:pStyle w:val="Heading2"/>
        <w:pBdr>
          <w:bottom w:val="single" w:color="EC3013" w:sz="12" w:space="2"/>
        </w:pBdr>
        <w:spacing w:after="220" w:before="280"/>
      </w:pPr>
      <w:r>
        <w:rPr>
          <w:b/>
          <w:bCs/>
          <w:color w:val="201E1D"/>
          <w:sz w:val="28"/>
          <w:szCs w:val="28"/>
        </w:rPr>
        <w:t xml:space="preserve">Outcome</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40%"/>
            <w:shd w:fill="201E1D" w:color="auto" w:val="clear"/>
            <w:tcMar>
              <w:top w:type="dxa" w:w="72"/>
              <w:left w:type="dxa" w:w="115"/>
              <w:bottom w:type="dxa" w:w="72"/>
              <w:right w:type="dxa" w:w="115"/>
            </w:tcMar>
            <w:vAlign w:val="top"/>
          </w:tcPr>
          <w:p>
            <w:pPr>
              <w:spacing w:after="140"/>
            </w:pPr>
            <w:r>
              <w:rPr>
                <w:b/>
                <w:bCs/>
                <w:color w:val="FFFFFF"/>
                <w:sz w:val="22"/>
                <w:szCs w:val="22"/>
              </w:rPr>
              <w:t xml:space="preserve">Decision</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Detail</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Approved for use as is</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Approved with amendments — list them</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Not approved — rework required</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bl>
    <w:p>
      <w:pPr>
        <w:spacing w:after="60"/>
      </w:pPr>
      <w:r>
        <w:rPr>
          <w:b w:val="false"/>
          <w:bCs w:val="false"/>
          <w:color w:val="201E1D"/>
          <w:sz w:val="22"/>
          <w:szCs w:val="22"/>
        </w:rPr>
        <w:t xml:space="preserve"/>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tblGrid>
      <w:tr>
        <w:trPr>
          <w:tblHeader/>
        </w:trPr>
        <w:tc>
          <w:tcPr>
            <w:tcW w:type="pct" w:w="40%"/>
            <w:shd w:fill="201E1D" w:color="auto" w:val="clear"/>
            <w:tcMar>
              <w:top w:type="dxa" w:w="72"/>
              <w:left w:type="dxa" w:w="115"/>
              <w:bottom w:type="dxa" w:w="72"/>
              <w:right w:type="dxa" w:w="115"/>
            </w:tcMar>
            <w:vAlign w:val="top"/>
          </w:tcPr>
          <w:p>
            <w:pPr>
              <w:spacing w:after="140"/>
            </w:pPr>
            <w:r>
              <w:rPr>
                <w:b/>
                <w:bCs/>
                <w:color w:val="FFFFFF"/>
                <w:sz w:val="16"/>
                <w:szCs w:val="16"/>
              </w:rPr>
              <w:t xml:space="preserve">Reviewer name</w:t>
            </w:r>
          </w:p>
        </w:tc>
        <w:tc>
          <w:tcPr>
            <w:tcW w:type="pct" w:w="35%"/>
            <w:shd w:fill="201E1D" w:color="auto" w:val="clear"/>
            <w:tcMar>
              <w:top w:type="dxa" w:w="72"/>
              <w:left w:type="dxa" w:w="115"/>
              <w:bottom w:type="dxa" w:w="72"/>
              <w:right w:type="dxa" w:w="115"/>
            </w:tcMar>
            <w:vAlign w:val="top"/>
          </w:tcPr>
          <w:p>
            <w:pPr>
              <w:spacing w:after="140"/>
            </w:pPr>
            <w:r>
              <w:rPr>
                <w:b/>
                <w:bCs/>
                <w:color w:val="FFFFFF"/>
                <w:sz w:val="16"/>
                <w:szCs w:val="16"/>
              </w:rPr>
              <w:t xml:space="preserve">Reviewer signature</w:t>
            </w:r>
          </w:p>
        </w:tc>
        <w:tc>
          <w:tcPr>
            <w:tcW w:type="pct" w:w="25%"/>
            <w:shd w:fill="201E1D" w:color="auto" w:val="clear"/>
            <w:tcMar>
              <w:top w:type="dxa" w:w="72"/>
              <w:left w:type="dxa" w:w="115"/>
              <w:bottom w:type="dxa" w:w="72"/>
              <w:right w:type="dxa" w:w="115"/>
            </w:tcMar>
            <w:vAlign w:val="top"/>
          </w:tcPr>
          <w:p>
            <w:pPr>
              <w:spacing w:after="140"/>
            </w:pPr>
            <w:r>
              <w:rPr>
                <w:b/>
                <w:bCs/>
                <w:color w:val="FFFFFF"/>
                <w:sz w:val="16"/>
                <w:szCs w:val="16"/>
              </w:rPr>
              <w:t xml:space="preserve">Date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spacing w:after="60"/>
      </w:pPr>
      <w:r>
        <w:rPr>
          <w:b w:val="false"/>
          <w:bCs w:val="false"/>
          <w:color w:val="201E1D"/>
          <w:sz w:val="22"/>
          <w:szCs w:val="22"/>
        </w:rPr>
        <w:t xml:space="preserve"/>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gridCol w:w="100"/>
      </w:tblGrid>
      <w:tr>
        <w:tc>
          <w:tcPr>
            <w:tcW w:type="pct" w:w="30%"/>
            <w:shd w:fill="EDE9E5" w:color="auto" w:val="clear"/>
            <w:tcMar>
              <w:top w:type="dxa" w:w="72"/>
              <w:left w:type="dxa" w:w="115"/>
              <w:bottom w:type="dxa" w:w="72"/>
              <w:right w:type="dxa" w:w="115"/>
            </w:tcMar>
            <w:vAlign w:val="top"/>
          </w:tcPr>
          <w:p>
            <w:pPr>
              <w:spacing w:after="140"/>
            </w:pPr>
            <w:r>
              <w:rPr>
                <w:b/>
                <w:bCs/>
                <w:color w:val="201E1D"/>
                <w:sz w:val="22"/>
                <w:szCs w:val="22"/>
              </w:rPr>
              <w:t xml:space="preserve">Actions closed out by</w:t>
            </w:r>
          </w:p>
        </w:tc>
        <w:tc>
          <w:tcPr>
            <w:tcW w:type="pct" w:w="40%"/>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W w:type="pct" w:w="12%"/>
            <w:shd w:fill="EDE9E5" w:color="auto" w:val="clear"/>
            <w:tcMar>
              <w:top w:type="dxa" w:w="72"/>
              <w:left w:type="dxa" w:w="115"/>
              <w:bottom w:type="dxa" w:w="72"/>
              <w:right w:type="dxa" w:w="115"/>
            </w:tcMar>
            <w:vAlign w:val="top"/>
          </w:tcPr>
          <w:p>
            <w:pPr>
              <w:spacing w:after="140"/>
            </w:pPr>
            <w:r>
              <w:rPr>
                <w:b/>
                <w:bCs/>
                <w:color w:val="201E1D"/>
                <w:sz w:val="22"/>
                <w:szCs w:val="22"/>
              </w:rPr>
              <w:t xml:space="preserve">Date</w:t>
            </w:r>
          </w:p>
        </w:tc>
        <w:tc>
          <w:tcPr>
            <w:tcW w:type="pct" w:w="18%"/>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sectPr>
      <w:headerReference w:type="default" r:id="rId7"/>
      <w:footerReference w:type="default" r:id="rId8"/>
      <w:pgSz w:w="11906" w:h="16838" w:orient="portrait"/>
      <w:pgMar w:top="1008" w:right="1008" w:bottom="1008"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4D0" w:sz="4"/>
      </w:pBdr>
      <w:spacing w:before="60"/>
    </w:pPr>
    <w:r>
      <w:rPr>
        <w:color w:val="6B6560"/>
        <w:sz w:val="16"/>
        <w:szCs w:val="16"/>
      </w:rPr>
      <w:t xml:space="preserve">Pre-use assessment tool review record · Issued 30 August 2026 · </w:t>
    </w:r>
    <w:r>
      <w:rPr>
        <w:color w:val="6B6560"/>
        <w:sz w:val="16"/>
        <w:szCs w:val="16"/>
      </w:rPr>
      <w:t xml:space="preserve">Page </w:t>
    </w:r>
    <w:r>
      <w:rPr>
        <w:color w:val="6B6560"/>
        <w:sz w:val="16"/>
        <w:szCs w:val="16"/>
      </w:rPr>
      <w:fldChar w:fldCharType="begin"/>
      <w:instrText xml:space="preserve">PAGE</w:instrText>
      <w:fldChar w:fldCharType="separate"/>
      <w:fldChar w:fldCharType="end"/>
    </w:r>
    <w:r>
      <w:rPr>
        <w:color w:val="6B6560"/>
        <w:sz w:val="16"/>
        <w:szCs w:val="16"/>
      </w:rPr>
      <w:t xml:space="preserve"> of </w:t>
    </w:r>
    <w:r>
      <w:rPr>
        <w:color w:val="6B6560"/>
        <w:sz w:val="16"/>
        <w:szCs w:val="16"/>
      </w:rPr>
      <w:fldChar w:fldCharType="begin"/>
      <w:instrText xml:space="preserve">NUMPAGES</w:instrText>
      <w:fldChar w:fldCharType="separate"/>
      <w:fldChar w:fldCharType="end"/>
    </w:r>
  </w:p>
  <w:p>
    <w:r>
      <w:rPr>
        <w:color w:val="6B6560"/>
        <w:sz w:val="16"/>
        <w:szCs w:val="16"/>
      </w:rPr>
      <w:t xml:space="preserve">CPCCCM2006 Apply basic levelling procedures is © Commonwealth of Australia, reproduced from training.gov.au under a Creative Commons Attribution-NoDerivatives licence. https://training.gov.au/training/details/CPCCCM2006</w:t>
    </w:r>
  </w:p>
  <w:p>
    <w:r>
      <w:rPr>
        <w:color w:val="6B6560"/>
        <w:sz w:val="16"/>
        <w:szCs w:val="16"/>
      </w:rPr>
      <w:t xml:space="preserve">Learning content and assessment items in this document were drafted with AI assistance and must be reviewed by a qualified assessor before use with students.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4D0" w:sz="4"/>
      </w:pBdr>
      <w:spacing w:after="60"/>
      <w:jc w:val="right"/>
    </w:pPr>
    <w:r>
      <w:rPr>
        <w:color w:val="6B6560"/>
        <w:sz w:val="16"/>
        <w:szCs w:val="16"/>
      </w:rPr>
      <w:t xml:space="preserve">Pre-use assessment tool review record · CPCCCM2006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2026-08-30T08:30:28.948Z</dcterms:created>
  <dcterms:modified xsi:type="dcterms:W3CDTF">2026-08-30T08:30:28.948Z</dcterms:modified>
</cp:coreProperties>
</file>

<file path=docProps/custom.xml><?xml version="1.0" encoding="utf-8"?>
<Properties xmlns="http://schemas.openxmlformats.org/officeDocument/2006/custom-properties" xmlns:vt="http://schemas.openxmlformats.org/officeDocument/2006/docPropsVTypes"/>
</file>